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9964FC">
        <w:rPr>
          <w:rFonts w:ascii="Calibri" w:hAnsi="Calibri" w:cs="Arial"/>
          <w:b/>
          <w:bCs/>
          <w:iCs/>
          <w:color w:val="7F7F7F" w:themeColor="text1" w:themeTint="80"/>
          <w:sz w:val="26"/>
          <w:szCs w:val="26"/>
        </w:rPr>
        <w:t>8 ocho</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 </w:t>
      </w:r>
      <w:r w:rsidR="00E31BEB">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FB227A">
        <w:rPr>
          <w:rFonts w:ascii="Calibri" w:hAnsi="Calibri" w:cs="Arial"/>
          <w:b/>
          <w:color w:val="7F7F7F" w:themeColor="text1" w:themeTint="80"/>
          <w:sz w:val="26"/>
          <w:szCs w:val="26"/>
        </w:rPr>
        <w:t>602/2015-JN</w:t>
      </w:r>
      <w:r w:rsidRPr="00BF5CA7">
        <w:rPr>
          <w:rFonts w:ascii="Calibri" w:hAnsi="Calibri" w:cs="Arial"/>
          <w:color w:val="7F7F7F" w:themeColor="text1" w:themeTint="80"/>
          <w:sz w:val="26"/>
          <w:szCs w:val="26"/>
        </w:rPr>
        <w:t>, promovido por l</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ciudadan</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w:t>
      </w:r>
      <w:r w:rsidR="0003606D">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 . </w:t>
      </w:r>
      <w:r w:rsidR="00183A07">
        <w:rPr>
          <w:rFonts w:ascii="Calibri" w:hAnsi="Calibri" w:cs="Arial"/>
          <w:color w:val="7F7F7F" w:themeColor="text1" w:themeTint="80"/>
          <w:sz w:val="26"/>
          <w:szCs w:val="26"/>
        </w:rPr>
        <w:t xml:space="preserve">. . . . </w:t>
      </w:r>
    </w:p>
    <w:p w:rsidR="004B3DFC" w:rsidRPr="0083714C" w:rsidRDefault="004B3DFC" w:rsidP="004B3DFC">
      <w:pPr>
        <w:pStyle w:val="Textoindependiente"/>
        <w:ind w:firstLine="708"/>
        <w:rPr>
          <w:rFonts w:ascii="Calibri" w:hAnsi="Calibri" w:cs="Arial"/>
          <w:color w:val="7F7F7F" w:themeColor="text1" w:themeTint="80"/>
          <w:sz w:val="20"/>
          <w:szCs w:val="20"/>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83714C" w:rsidRDefault="004B3DFC" w:rsidP="004B3DFC">
      <w:pPr>
        <w:jc w:val="both"/>
        <w:rPr>
          <w:rFonts w:ascii="Calibri" w:hAnsi="Calibri" w:cs="Arial"/>
          <w:b/>
          <w:i/>
          <w:iCs/>
          <w:color w:val="7F7F7F" w:themeColor="text1" w:themeTint="80"/>
          <w:sz w:val="20"/>
          <w:szCs w:val="20"/>
        </w:rPr>
      </w:pPr>
    </w:p>
    <w:p w:rsidR="004B3DFC" w:rsidRPr="00E31BEB" w:rsidRDefault="004B3DFC" w:rsidP="00E31BEB">
      <w:pPr>
        <w:ind w:firstLine="708"/>
        <w:jc w:val="both"/>
        <w:rPr>
          <w:rFonts w:ascii="Calibri" w:hAnsi="Calibri" w:cs="Arial"/>
          <w:color w:val="7F7F7F" w:themeColor="text1" w:themeTint="80"/>
          <w:sz w:val="26"/>
          <w:szCs w:val="27"/>
        </w:rPr>
      </w:pPr>
      <w:bookmarkStart w:id="0" w:name="_GoBack"/>
      <w:bookmarkEnd w:id="0"/>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0022A1">
        <w:rPr>
          <w:rFonts w:ascii="Calibri" w:hAnsi="Calibri" w:cs="Arial"/>
          <w:color w:val="7F7F7F" w:themeColor="text1" w:themeTint="80"/>
          <w:sz w:val="26"/>
          <w:szCs w:val="26"/>
        </w:rPr>
        <w:t>la actora se ostenta</w:t>
      </w:r>
      <w:r w:rsidRPr="00BF5CA7">
        <w:rPr>
          <w:rFonts w:ascii="Calibri" w:hAnsi="Calibri" w:cs="Arial"/>
          <w:color w:val="7F7F7F" w:themeColor="text1" w:themeTint="80"/>
          <w:sz w:val="26"/>
          <w:szCs w:val="26"/>
        </w:rPr>
        <w:t xml:space="preserve"> sabedor</w:t>
      </w:r>
      <w:r w:rsidR="000022A1">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FB227A">
        <w:rPr>
          <w:rFonts w:ascii="Calibri" w:hAnsi="Calibri" w:cs="Arial"/>
          <w:color w:val="7F7F7F" w:themeColor="text1" w:themeTint="80"/>
          <w:sz w:val="26"/>
          <w:szCs w:val="26"/>
        </w:rPr>
        <w:t>18 dieciocho de junio</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p>
    <w:p w:rsidR="004B3DFC" w:rsidRPr="0083714C" w:rsidRDefault="004B3DFC" w:rsidP="004B3DFC">
      <w:pPr>
        <w:jc w:val="both"/>
        <w:rPr>
          <w:rFonts w:ascii="Calibri" w:hAnsi="Calibri"/>
          <w:b/>
          <w:i/>
          <w:iCs/>
          <w:color w:val="7F7F7F" w:themeColor="text1" w:themeTint="80"/>
          <w:sz w:val="20"/>
          <w:szCs w:val="20"/>
        </w:rPr>
      </w:pPr>
    </w:p>
    <w:p w:rsidR="00E31BEB" w:rsidRDefault="004B3DFC" w:rsidP="00E0072D">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FB227A">
        <w:rPr>
          <w:rFonts w:ascii="Calibri" w:hAnsi="Calibri" w:cs="Calibri"/>
          <w:color w:val="7F7F7F" w:themeColor="text1" w:themeTint="80"/>
          <w:sz w:val="26"/>
          <w:szCs w:val="26"/>
        </w:rPr>
        <w:t>18 dieciocho de junio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p>
    <w:p w:rsidR="0083714C" w:rsidRPr="0083714C" w:rsidRDefault="0083714C" w:rsidP="00E31BEB">
      <w:pPr>
        <w:ind w:firstLine="708"/>
        <w:jc w:val="right"/>
        <w:rPr>
          <w:rFonts w:ascii="Calibri" w:hAnsi="Calibri" w:cs="Calibri"/>
          <w:b/>
          <w:color w:val="7F7F7F" w:themeColor="text1" w:themeTint="80"/>
          <w:sz w:val="20"/>
          <w:szCs w:val="20"/>
        </w:rPr>
      </w:pPr>
    </w:p>
    <w:p w:rsidR="00E31BEB" w:rsidRDefault="00E31BEB" w:rsidP="00E31BE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w:t>
      </w:r>
      <w:r w:rsidR="00FB227A">
        <w:rPr>
          <w:rFonts w:ascii="Calibri" w:hAnsi="Calibri" w:cs="Calibri"/>
          <w:b/>
          <w:color w:val="7F7F7F" w:themeColor="text1" w:themeTint="80"/>
          <w:sz w:val="26"/>
          <w:szCs w:val="26"/>
        </w:rPr>
        <w:t>602/2015-JN</w:t>
      </w:r>
    </w:p>
    <w:p w:rsidR="00E31BEB" w:rsidRPr="0083714C" w:rsidRDefault="00E31BEB" w:rsidP="00E0072D">
      <w:pPr>
        <w:ind w:firstLine="708"/>
        <w:jc w:val="both"/>
        <w:rPr>
          <w:rFonts w:ascii="Calibri" w:hAnsi="Calibri"/>
          <w:color w:val="7F7F7F" w:themeColor="text1" w:themeTint="80"/>
          <w:sz w:val="20"/>
          <w:szCs w:val="20"/>
        </w:rPr>
      </w:pPr>
    </w:p>
    <w:p w:rsidR="004B3DFC" w:rsidRPr="00E0072D" w:rsidRDefault="004B3DFC" w:rsidP="00E31BEB">
      <w:pPr>
        <w:jc w:val="both"/>
        <w:rPr>
          <w:rFonts w:ascii="Calibri" w:hAnsi="Calibri" w:cs="Calibri"/>
          <w:color w:val="7F7F7F" w:themeColor="text1" w:themeTint="80"/>
          <w:sz w:val="26"/>
          <w:szCs w:val="26"/>
        </w:rPr>
      </w:pP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FB227A">
        <w:rPr>
          <w:rFonts w:ascii="Calibri" w:hAnsi="Calibri"/>
          <w:color w:val="7F7F7F" w:themeColor="text1" w:themeTint="80"/>
          <w:sz w:val="26"/>
          <w:szCs w:val="26"/>
        </w:rPr>
        <w:t>0352</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0022A1">
        <w:rPr>
          <w:rFonts w:ascii="Calibri" w:hAnsi="Calibri"/>
          <w:color w:val="7F7F7F" w:themeColor="text1" w:themeTint="80"/>
          <w:sz w:val="26"/>
          <w:szCs w:val="26"/>
        </w:rPr>
        <w:t>la actora</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haber emitido </w:t>
      </w:r>
      <w:r w:rsidR="00E54AA9">
        <w:rPr>
          <w:rFonts w:ascii="Calibri" w:hAnsi="Calibri"/>
          <w:color w:val="7F7F7F" w:themeColor="text1" w:themeTint="80"/>
          <w:sz w:val="26"/>
          <w:szCs w:val="26"/>
        </w:rPr>
        <w:t xml:space="preserve">la orden de visita de inspección </w:t>
      </w:r>
      <w:r w:rsidR="00E54AA9" w:rsidRPr="00E54AA9">
        <w:rPr>
          <w:rFonts w:ascii="Calibri" w:hAnsi="Calibri"/>
          <w:color w:val="7F7F7F" w:themeColor="text1" w:themeTint="80"/>
          <w:sz w:val="26"/>
          <w:szCs w:val="26"/>
        </w:rPr>
        <w:t xml:space="preserve">que se impugna,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w:t>
      </w:r>
      <w:r w:rsidR="0083714C">
        <w:rPr>
          <w:rFonts w:ascii="Calibri" w:hAnsi="Calibri"/>
          <w:color w:val="7F7F7F" w:themeColor="text1" w:themeTint="80"/>
          <w:sz w:val="26"/>
          <w:szCs w:val="26"/>
        </w:rPr>
        <w:t xml:space="preserve"> . . . . . . . . . . . . </w:t>
      </w:r>
    </w:p>
    <w:p w:rsidR="004B3DFC" w:rsidRPr="0083714C" w:rsidRDefault="004B3DFC" w:rsidP="004B3DFC">
      <w:pPr>
        <w:ind w:firstLine="708"/>
        <w:jc w:val="both"/>
        <w:rPr>
          <w:rFonts w:ascii="Calibri" w:hAnsi="Calibri"/>
          <w:color w:val="7F7F7F" w:themeColor="text1" w:themeTint="80"/>
          <w:sz w:val="20"/>
          <w:szCs w:val="20"/>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83714C" w:rsidRDefault="004B3DFC" w:rsidP="004B3DFC">
      <w:pPr>
        <w:jc w:val="both"/>
        <w:rPr>
          <w:rFonts w:ascii="Calibri" w:hAnsi="Calibri"/>
          <w:color w:val="7F7F7F" w:themeColor="text1" w:themeTint="80"/>
          <w:sz w:val="20"/>
          <w:szCs w:val="20"/>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E50512" w:rsidRPr="0083714C" w:rsidRDefault="00E50512" w:rsidP="004B3DFC">
      <w:pPr>
        <w:ind w:firstLine="708"/>
        <w:jc w:val="both"/>
        <w:rPr>
          <w:rFonts w:ascii="Calibri" w:hAnsi="Calibri"/>
          <w:bCs/>
          <w:iCs/>
          <w:color w:val="7F7F7F" w:themeColor="text1" w:themeTint="80"/>
          <w:sz w:val="20"/>
          <w:szCs w:val="20"/>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Asentado lo anterior, se advierte que en el presente proceso, el Director General de Fiscalización y Control e Inspector demandados, exteriorizaron que el proceso es improcedente; aduciendo que se actualiza</w:t>
      </w:r>
      <w:r w:rsidR="00C80E6F">
        <w:rPr>
          <w:rFonts w:ascii="Calibri" w:hAnsi="Calibri"/>
          <w:bCs/>
          <w:iCs/>
          <w:color w:val="7F7F7F" w:themeColor="text1" w:themeTint="80"/>
          <w:sz w:val="26"/>
          <w:szCs w:val="26"/>
        </w:rPr>
        <w:t>n</w:t>
      </w:r>
      <w:r w:rsidRPr="00781737">
        <w:rPr>
          <w:rFonts w:ascii="Calibri" w:hAnsi="Calibri"/>
          <w:bCs/>
          <w:iCs/>
          <w:color w:val="7F7F7F" w:themeColor="text1" w:themeTint="80"/>
          <w:sz w:val="26"/>
          <w:szCs w:val="26"/>
        </w:rPr>
        <w:t xml:space="preserve"> las causales previstas en el artículo 261, en sus</w:t>
      </w:r>
      <w:r w:rsidR="00C80E6F">
        <w:rPr>
          <w:rFonts w:ascii="Calibri" w:hAnsi="Calibri"/>
          <w:bCs/>
          <w:iCs/>
          <w:color w:val="7F7F7F" w:themeColor="text1" w:themeTint="80"/>
          <w:sz w:val="26"/>
          <w:szCs w:val="26"/>
        </w:rPr>
        <w:t xml:space="preserve"> fracciones I y VII;</w:t>
      </w:r>
      <w:r w:rsidRPr="00781737">
        <w:rPr>
          <w:rFonts w:ascii="Calibri" w:hAnsi="Calibri"/>
          <w:bCs/>
          <w:iCs/>
          <w:color w:val="7F7F7F" w:themeColor="text1" w:themeTint="80"/>
          <w:sz w:val="26"/>
          <w:szCs w:val="26"/>
        </w:rPr>
        <w:t xml:space="preserve"> esta última concatenada con el artículo 251, del Código de Procedimiento y Justicia Administrativa antes citado; al referir, </w:t>
      </w:r>
      <w:r w:rsidR="00C80E6F" w:rsidRPr="00C80E6F">
        <w:rPr>
          <w:rFonts w:ascii="Calibri" w:hAnsi="Calibri"/>
          <w:bCs/>
          <w:i/>
          <w:iCs/>
          <w:color w:val="7F7F7F" w:themeColor="text1" w:themeTint="80"/>
          <w:sz w:val="26"/>
          <w:szCs w:val="26"/>
        </w:rPr>
        <w:t>“</w:t>
      </w:r>
      <w:r w:rsidRPr="00C80E6F">
        <w:rPr>
          <w:rFonts w:ascii="Calibri" w:hAnsi="Calibri"/>
          <w:bCs/>
          <w:i/>
          <w:iCs/>
          <w:color w:val="7F7F7F" w:themeColor="text1" w:themeTint="80"/>
          <w:sz w:val="26"/>
          <w:szCs w:val="26"/>
        </w:rPr>
        <w:t>grosso modo</w:t>
      </w:r>
      <w:r w:rsidR="00C80E6F" w:rsidRPr="00C80E6F">
        <w:rPr>
          <w:rFonts w:ascii="Calibri" w:hAnsi="Calibri"/>
          <w:bCs/>
          <w:i/>
          <w:iCs/>
          <w:color w:val="7F7F7F" w:themeColor="text1" w:themeTint="80"/>
          <w:sz w:val="26"/>
          <w:szCs w:val="26"/>
        </w:rPr>
        <w:t>”</w:t>
      </w:r>
      <w:r w:rsidRPr="00781737">
        <w:rPr>
          <w:rFonts w:ascii="Calibri" w:hAnsi="Calibri"/>
          <w:bCs/>
          <w:iCs/>
          <w:color w:val="7F7F7F" w:themeColor="text1" w:themeTint="80"/>
          <w:sz w:val="26"/>
          <w:szCs w:val="26"/>
        </w:rPr>
        <w:t xml:space="preserve">, que no se afecta el interés jurídico de la impetrante, toda vez que no demuestra ser titular de un derecho subjetivo y que no le asiste ningún derecho que haya sido vulnerado . . . . . . . . . . . . . . . . . . . . . . . . . . . . . . . . . . </w:t>
      </w:r>
    </w:p>
    <w:p w:rsidR="00781737" w:rsidRPr="0083714C" w:rsidRDefault="00781737" w:rsidP="00781737">
      <w:pPr>
        <w:ind w:firstLine="708"/>
        <w:jc w:val="both"/>
        <w:rPr>
          <w:rFonts w:ascii="Calibri" w:hAnsi="Calibri"/>
          <w:bCs/>
          <w:iCs/>
          <w:color w:val="7F7F7F" w:themeColor="text1" w:themeTint="80"/>
          <w:sz w:val="20"/>
          <w:szCs w:val="20"/>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 la impetrante; toda vez que se instauró en su contra, por la Dirección General de Fiscalización y Control, el procedimiento administrativo número DGFC/DT/</w:t>
      </w:r>
      <w:r w:rsidR="00FB227A">
        <w:rPr>
          <w:rFonts w:ascii="Calibri" w:hAnsi="Calibri"/>
          <w:bCs/>
          <w:iCs/>
          <w:color w:val="7F7F7F" w:themeColor="text1" w:themeTint="80"/>
          <w:sz w:val="26"/>
          <w:szCs w:val="26"/>
        </w:rPr>
        <w:t>0352</w:t>
      </w:r>
      <w:r w:rsidRPr="00781737">
        <w:rPr>
          <w:rFonts w:ascii="Calibri" w:hAnsi="Calibri"/>
          <w:bCs/>
          <w:iCs/>
          <w:color w:val="7F7F7F" w:themeColor="text1" w:themeTint="80"/>
          <w:sz w:val="26"/>
          <w:szCs w:val="26"/>
        </w:rPr>
        <w:t xml:space="preserve">/2015/JA, mismo en el que eventualmente, podría imponérsele alguna sanción, además de que se clausuró una máquina de juegos de azar que se encontraba al interior del establecimiento visitado, lo que sí afecta la esfera de derechos de la actora, sobre todo porque se considera que </w:t>
      </w:r>
      <w:r>
        <w:rPr>
          <w:rFonts w:ascii="Calibri" w:hAnsi="Calibri"/>
          <w:bCs/>
          <w:iCs/>
          <w:color w:val="7F7F7F" w:themeColor="text1" w:themeTint="80"/>
          <w:sz w:val="26"/>
          <w:szCs w:val="26"/>
        </w:rPr>
        <w:t>pudiera existir violación al</w:t>
      </w:r>
      <w:r w:rsidRPr="00781737">
        <w:rPr>
          <w:rFonts w:ascii="Calibri" w:hAnsi="Calibri"/>
          <w:bCs/>
          <w:iCs/>
          <w:color w:val="7F7F7F" w:themeColor="text1" w:themeTint="80"/>
          <w:sz w:val="26"/>
          <w:szCs w:val="26"/>
        </w:rPr>
        <w:t xml:space="preserve"> derecho humano al debido proceso; por lo que al no prosperar las causales de improcedencia señaladas, ésta sí se encuentra legitimada para promover el proceso que nos ocupa. . . . . . . . . . . . . . . .</w:t>
      </w:r>
    </w:p>
    <w:p w:rsidR="00781737" w:rsidRPr="00330575" w:rsidRDefault="00781737" w:rsidP="00781737">
      <w:pPr>
        <w:ind w:firstLine="708"/>
        <w:jc w:val="both"/>
        <w:rPr>
          <w:rFonts w:ascii="Calibri" w:hAnsi="Calibri"/>
          <w:bCs/>
          <w:iCs/>
          <w:color w:val="000000" w:themeColor="text1"/>
          <w:sz w:val="20"/>
          <w:szCs w:val="20"/>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w:t>
      </w:r>
      <w:r w:rsidR="00330575">
        <w:rPr>
          <w:rFonts w:ascii="Calibri" w:hAnsi="Calibri"/>
          <w:bCs/>
          <w:iCs/>
          <w:color w:val="7F7F7F" w:themeColor="text1" w:themeTint="80"/>
          <w:sz w:val="26"/>
          <w:szCs w:val="26"/>
        </w:rPr>
        <w:t xml:space="preserve"> . . . . </w:t>
      </w:r>
    </w:p>
    <w:p w:rsidR="004B3DFC" w:rsidRPr="00330575" w:rsidRDefault="004B3DFC" w:rsidP="004B3DFC">
      <w:pPr>
        <w:jc w:val="both"/>
        <w:rPr>
          <w:rFonts w:ascii="Calibri" w:hAnsi="Calibri"/>
          <w:b/>
          <w:bCs/>
          <w:i/>
          <w:iCs/>
          <w:color w:val="7F7F7F" w:themeColor="text1" w:themeTint="80"/>
          <w:sz w:val="20"/>
          <w:szCs w:val="20"/>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330575" w:rsidRDefault="004B3DFC" w:rsidP="004B3DFC">
      <w:pPr>
        <w:ind w:firstLine="708"/>
        <w:jc w:val="both"/>
        <w:rPr>
          <w:rFonts w:ascii="Calibri" w:hAnsi="Calibri"/>
          <w:color w:val="7F7F7F" w:themeColor="text1" w:themeTint="80"/>
          <w:sz w:val="20"/>
          <w:szCs w:val="20"/>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FB227A">
        <w:rPr>
          <w:rFonts w:ascii="Calibri" w:hAnsi="Calibri"/>
          <w:color w:val="7F7F7F" w:themeColor="text1" w:themeTint="80"/>
          <w:sz w:val="26"/>
          <w:szCs w:val="26"/>
        </w:rPr>
        <w:t>18 dieciocho de junio</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w:t>
      </w:r>
      <w:r w:rsidR="00FB227A">
        <w:rPr>
          <w:rFonts w:ascii="Calibri" w:hAnsi="Calibri"/>
          <w:color w:val="7F7F7F" w:themeColor="text1" w:themeTint="80"/>
          <w:sz w:val="26"/>
          <w:szCs w:val="26"/>
        </w:rPr>
        <w:t>0352</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E34F68">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marcado con el número </w:t>
      </w:r>
      <w:r w:rsidR="00FB227A">
        <w:rPr>
          <w:rFonts w:ascii="Calibri" w:hAnsi="Calibri"/>
          <w:color w:val="7F7F7F" w:themeColor="text1" w:themeTint="80"/>
          <w:sz w:val="26"/>
          <w:szCs w:val="26"/>
        </w:rPr>
        <w:t>301-A trecientos uno guion A</w:t>
      </w:r>
      <w:r w:rsidRPr="00BF5CA7">
        <w:rPr>
          <w:rFonts w:ascii="Calibri" w:hAnsi="Calibri"/>
          <w:color w:val="7F7F7F" w:themeColor="text1" w:themeTint="80"/>
          <w:sz w:val="26"/>
          <w:szCs w:val="26"/>
        </w:rPr>
        <w:t xml:space="preserve">, de la calle </w:t>
      </w:r>
      <w:proofErr w:type="spellStart"/>
      <w:r w:rsidR="00FB227A">
        <w:rPr>
          <w:rFonts w:ascii="Calibri" w:hAnsi="Calibri"/>
          <w:color w:val="7F7F7F" w:themeColor="text1" w:themeTint="80"/>
          <w:sz w:val="26"/>
          <w:szCs w:val="26"/>
        </w:rPr>
        <w:t>Savila</w:t>
      </w:r>
      <w:proofErr w:type="spellEnd"/>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de la </w:t>
      </w:r>
      <w:r w:rsidRPr="00BF5CA7">
        <w:rPr>
          <w:rFonts w:ascii="Calibri" w:hAnsi="Calibri"/>
          <w:color w:val="7F7F7F" w:themeColor="text1" w:themeTint="80"/>
          <w:sz w:val="26"/>
          <w:szCs w:val="26"/>
        </w:rPr>
        <w:t xml:space="preserve">colonia </w:t>
      </w:r>
      <w:r w:rsidR="00AE1A6F">
        <w:rPr>
          <w:rFonts w:ascii="Calibri" w:hAnsi="Calibri"/>
          <w:color w:val="7F7F7F" w:themeColor="text1" w:themeTint="80"/>
          <w:sz w:val="26"/>
          <w:szCs w:val="26"/>
        </w:rPr>
        <w:t xml:space="preserve">o comunidad </w:t>
      </w:r>
      <w:r w:rsidR="00FB227A">
        <w:rPr>
          <w:rFonts w:ascii="Calibri" w:hAnsi="Calibri"/>
          <w:color w:val="7F7F7F" w:themeColor="text1" w:themeTint="80"/>
          <w:sz w:val="26"/>
          <w:szCs w:val="26"/>
        </w:rPr>
        <w:t xml:space="preserve">Valle Hermoso III </w:t>
      </w:r>
      <w:r w:rsidR="00330575">
        <w:rPr>
          <w:rFonts w:ascii="Calibri" w:hAnsi="Calibri"/>
          <w:color w:val="7F7F7F" w:themeColor="text1" w:themeTint="80"/>
          <w:sz w:val="26"/>
          <w:szCs w:val="26"/>
        </w:rPr>
        <w:t xml:space="preserve">tercera </w:t>
      </w:r>
      <w:r w:rsidR="00FB227A">
        <w:rPr>
          <w:rFonts w:ascii="Calibri" w:hAnsi="Calibri"/>
          <w:color w:val="7F7F7F" w:themeColor="text1" w:themeTint="80"/>
          <w:sz w:val="26"/>
          <w:szCs w:val="26"/>
        </w:rPr>
        <w:t xml:space="preserve">Sección </w:t>
      </w:r>
      <w:r w:rsidRPr="00BF5CA7">
        <w:rPr>
          <w:rFonts w:ascii="Calibri" w:hAnsi="Calibri"/>
          <w:color w:val="7F7F7F" w:themeColor="text1" w:themeTint="80"/>
          <w:sz w:val="26"/>
          <w:szCs w:val="26"/>
        </w:rPr>
        <w:t xml:space="preserve">de </w:t>
      </w:r>
      <w:r w:rsidR="00AE1A6F">
        <w:rPr>
          <w:rFonts w:ascii="Calibri" w:hAnsi="Calibri"/>
          <w:color w:val="7F7F7F" w:themeColor="text1" w:themeTint="80"/>
          <w:sz w:val="26"/>
          <w:szCs w:val="26"/>
        </w:rPr>
        <w:t>este municipio</w:t>
      </w:r>
      <w:r w:rsidRPr="00BF5CA7">
        <w:rPr>
          <w:rFonts w:ascii="Calibri" w:hAnsi="Calibri"/>
          <w:color w:val="7F7F7F" w:themeColor="text1" w:themeTint="80"/>
          <w:sz w:val="26"/>
          <w:szCs w:val="26"/>
        </w:rPr>
        <w:t xml:space="preserve">; llevando a cabo </w:t>
      </w:r>
      <w:r w:rsidRPr="00BF5CA7">
        <w:rPr>
          <w:rFonts w:ascii="Calibri" w:hAnsi="Calibri"/>
          <w:color w:val="7F7F7F" w:themeColor="text1" w:themeTint="80"/>
          <w:sz w:val="26"/>
          <w:szCs w:val="26"/>
        </w:rPr>
        <w:lastRenderedPageBreak/>
        <w:t>la visita de inspección; entendiendo la diligencia con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propietaria de</w:t>
      </w:r>
      <w:r w:rsidR="00FE6FD0">
        <w:rPr>
          <w:rFonts w:ascii="Calibri" w:hAnsi="Calibri"/>
          <w:color w:val="7F7F7F" w:themeColor="text1" w:themeTint="80"/>
          <w:sz w:val="26"/>
          <w:szCs w:val="26"/>
        </w:rPr>
        <w:t>l local inspeccionado</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ciudadan</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ahora actor</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w:t>
      </w:r>
      <w:r w:rsidR="00330575">
        <w:rPr>
          <w:rFonts w:ascii="Calibri" w:hAnsi="Calibri"/>
          <w:color w:val="7F7F7F" w:themeColor="text1" w:themeTint="80"/>
          <w:sz w:val="26"/>
          <w:szCs w:val="26"/>
        </w:rPr>
        <w:t xml:space="preserve">urarla. . . . . . . . </w:t>
      </w:r>
    </w:p>
    <w:p w:rsidR="004B3DFC" w:rsidRPr="006A28E2" w:rsidRDefault="004B3DFC" w:rsidP="004B3DFC">
      <w:pPr>
        <w:pStyle w:val="Sangra2detindependiente"/>
        <w:ind w:firstLine="0"/>
        <w:rPr>
          <w:rFonts w:ascii="Calibri" w:hAnsi="Calibri"/>
          <w:color w:val="7F7F7F" w:themeColor="text1" w:themeTint="80"/>
          <w:sz w:val="20"/>
          <w:szCs w:val="20"/>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Actos que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6A28E2" w:rsidRDefault="004B3DFC" w:rsidP="004B3DFC">
      <w:pPr>
        <w:pStyle w:val="Textoindependiente"/>
        <w:tabs>
          <w:tab w:val="left" w:pos="3594"/>
        </w:tabs>
        <w:rPr>
          <w:rFonts w:ascii="Calibri" w:hAnsi="Calibri" w:cs="Calibri"/>
          <w:iCs/>
          <w:color w:val="7F7F7F" w:themeColor="text1" w:themeTint="80"/>
          <w:sz w:val="20"/>
          <w:szCs w:val="20"/>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A02F6E">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la actora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 . . . . . </w:t>
      </w:r>
      <w:r w:rsidR="00EC7D6A">
        <w:rPr>
          <w:rFonts w:ascii="Calibri" w:hAnsi="Calibri" w:cs="Calibri"/>
          <w:iCs/>
          <w:color w:val="7F7F7F" w:themeColor="text1" w:themeTint="80"/>
          <w:sz w:val="26"/>
          <w:szCs w:val="26"/>
        </w:rPr>
        <w:t>. . . . . . . . . . . . . . . . . . . . . . . . . . . .</w:t>
      </w:r>
      <w:r w:rsidR="00D77803">
        <w:rPr>
          <w:rFonts w:ascii="Calibri" w:hAnsi="Calibri" w:cs="Calibri"/>
          <w:iCs/>
          <w:color w:val="7F7F7F" w:themeColor="text1" w:themeTint="80"/>
          <w:sz w:val="26"/>
          <w:szCs w:val="26"/>
        </w:rPr>
        <w:t xml:space="preserve"> . . . . . . . . . . . . . . . . . . . . . . . . . . </w:t>
      </w:r>
    </w:p>
    <w:p w:rsidR="00AE3E7D" w:rsidRPr="00D92F83" w:rsidRDefault="00AE3E7D" w:rsidP="004B3DFC">
      <w:pPr>
        <w:pStyle w:val="Textoindependiente"/>
        <w:tabs>
          <w:tab w:val="left" w:pos="3594"/>
        </w:tabs>
        <w:rPr>
          <w:rFonts w:ascii="Calibri" w:hAnsi="Calibri" w:cs="Calibri"/>
          <w:iCs/>
          <w:color w:val="7F7F7F" w:themeColor="text1" w:themeTint="80"/>
          <w:sz w:val="20"/>
          <w:szCs w:val="20"/>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Así las cosas, la “</w:t>
      </w:r>
      <w:proofErr w:type="spellStart"/>
      <w:r w:rsidRPr="00BF5CA7">
        <w:rPr>
          <w:rFonts w:ascii="Calibri" w:hAnsi="Calibri" w:cs="Calibri"/>
          <w:color w:val="7F7F7F" w:themeColor="text1" w:themeTint="80"/>
          <w:sz w:val="26"/>
          <w:szCs w:val="26"/>
        </w:rPr>
        <w:t>litis</w:t>
      </w:r>
      <w:proofErr w:type="spellEnd"/>
      <w:r w:rsidRPr="00BF5CA7">
        <w:rPr>
          <w:rFonts w:ascii="Calibri" w:hAnsi="Calibri" w:cs="Calibri"/>
          <w:color w:val="7F7F7F" w:themeColor="text1" w:themeTint="80"/>
          <w:sz w:val="26"/>
          <w:szCs w:val="26"/>
        </w:rPr>
        <w:t xml:space="preserve">” planteada se hace consistir en determinar la </w:t>
      </w:r>
      <w:r w:rsidR="00C1556C">
        <w:rPr>
          <w:rFonts w:ascii="Calibri" w:hAnsi="Calibri" w:cs="Calibri"/>
          <w:color w:val="7F7F7F" w:themeColor="text1" w:themeTint="80"/>
          <w:sz w:val="26"/>
          <w:szCs w:val="26"/>
        </w:rPr>
        <w:t>l</w:t>
      </w:r>
      <w:r w:rsidRPr="00BF5CA7">
        <w:rPr>
          <w:rFonts w:ascii="Calibri" w:hAnsi="Calibri" w:cs="Calibri"/>
          <w:color w:val="7F7F7F" w:themeColor="text1" w:themeTint="80"/>
          <w:sz w:val="26"/>
          <w:szCs w:val="26"/>
        </w:rPr>
        <w:t>egalidad o ilegalidad de l</w:t>
      </w:r>
      <w:r w:rsidRPr="00BF5CA7">
        <w:rPr>
          <w:rFonts w:ascii="Calibri" w:hAnsi="Calibri"/>
          <w:color w:val="7F7F7F" w:themeColor="text1" w:themeTint="80"/>
          <w:sz w:val="26"/>
          <w:szCs w:val="26"/>
        </w:rPr>
        <w:t xml:space="preserve">a orden de visita de inspección, de fecha </w:t>
      </w:r>
      <w:r w:rsidR="00FB227A">
        <w:rPr>
          <w:rFonts w:ascii="Calibri" w:hAnsi="Calibri"/>
          <w:color w:val="7F7F7F" w:themeColor="text1" w:themeTint="80"/>
          <w:sz w:val="26"/>
          <w:szCs w:val="26"/>
        </w:rPr>
        <w:t>18 dieciocho de junio</w:t>
      </w:r>
      <w:r w:rsidRPr="00BF5CA7">
        <w:rPr>
          <w:rFonts w:ascii="Calibri" w:hAnsi="Calibri"/>
          <w:color w:val="7F7F7F" w:themeColor="text1" w:themeTint="80"/>
          <w:sz w:val="26"/>
          <w:szCs w:val="26"/>
        </w:rPr>
        <w:t xml:space="preserve"> del año 2015 dos mil quince, emitida dentro del expediente con número </w:t>
      </w:r>
      <w:r w:rsidR="00781737">
        <w:rPr>
          <w:rFonts w:ascii="Calibri" w:hAnsi="Calibri"/>
          <w:color w:val="7F7F7F" w:themeColor="text1" w:themeTint="80"/>
          <w:sz w:val="26"/>
          <w:szCs w:val="26"/>
        </w:rPr>
        <w:t>DGFC/DT/</w:t>
      </w:r>
      <w:r w:rsidR="00FB227A">
        <w:rPr>
          <w:rFonts w:ascii="Calibri" w:hAnsi="Calibri"/>
          <w:color w:val="7F7F7F" w:themeColor="text1" w:themeTint="80"/>
          <w:sz w:val="26"/>
          <w:szCs w:val="26"/>
        </w:rPr>
        <w:t>0352</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del levantamiento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25552E" w:rsidRDefault="0025552E" w:rsidP="0025552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602/2015-JN</w:t>
      </w:r>
    </w:p>
    <w:p w:rsidR="00EC7D6A" w:rsidRPr="0025552E" w:rsidRDefault="00EC7D6A" w:rsidP="00D77803">
      <w:pPr>
        <w:jc w:val="both"/>
        <w:rPr>
          <w:rFonts w:ascii="Calibri" w:hAnsi="Calibri" w:cs="Arial"/>
          <w:b/>
          <w:bCs/>
          <w:i/>
          <w:iCs/>
          <w:color w:val="7F7F7F" w:themeColor="text1" w:themeTint="80"/>
          <w:sz w:val="20"/>
          <w:szCs w:val="20"/>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p>
    <w:p w:rsidR="00D77803" w:rsidRPr="0025552E" w:rsidRDefault="00D77803" w:rsidP="0025552E">
      <w:pPr>
        <w:jc w:val="both"/>
        <w:rPr>
          <w:rFonts w:ascii="Calibri" w:hAnsi="Calibri" w:cs="Calibri"/>
          <w:color w:val="7F7F7F" w:themeColor="text1" w:themeTint="80"/>
          <w:sz w:val="20"/>
          <w:szCs w:val="20"/>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114938">
        <w:rPr>
          <w:rFonts w:ascii="Calibri" w:hAnsi="Calibri" w:cs="Calibri"/>
          <w:color w:val="7F7F7F" w:themeColor="text1" w:themeTint="80"/>
          <w:sz w:val="26"/>
          <w:szCs w:val="26"/>
        </w:rPr>
        <w:t xml:space="preserve"> </w:t>
      </w:r>
      <w:r w:rsidRPr="00BF5CA7">
        <w:rPr>
          <w:rFonts w:ascii="Calibri" w:hAnsi="Calibri" w:cs="Calibri"/>
          <w:color w:val="7F7F7F" w:themeColor="text1" w:themeTint="80"/>
          <w:sz w:val="26"/>
          <w:szCs w:val="26"/>
        </w:rPr>
        <w:t>l</w:t>
      </w:r>
      <w:r w:rsidR="00114938">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25552E" w:rsidRDefault="004B3DFC" w:rsidP="004B3DFC">
      <w:pPr>
        <w:ind w:firstLine="708"/>
        <w:jc w:val="both"/>
        <w:rPr>
          <w:rFonts w:ascii="Calibri" w:hAnsi="Calibri" w:cs="Arial"/>
          <w:color w:val="7F7F7F" w:themeColor="text1" w:themeTint="80"/>
          <w:sz w:val="20"/>
          <w:szCs w:val="20"/>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25552E" w:rsidRDefault="004B3DFC" w:rsidP="004B3DFC">
      <w:pPr>
        <w:pStyle w:val="Textoindependiente"/>
        <w:ind w:firstLine="708"/>
        <w:rPr>
          <w:rFonts w:ascii="Calibri" w:hAnsi="Calibri"/>
          <w:color w:val="7F7F7F" w:themeColor="text1" w:themeTint="80"/>
          <w:sz w:val="20"/>
          <w:szCs w:val="20"/>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w:t>
      </w:r>
      <w:r w:rsidRPr="00BF5CA7">
        <w:rPr>
          <w:rFonts w:ascii="Calibri" w:hAnsi="Calibri"/>
          <w:i/>
          <w:iCs/>
          <w:color w:val="7F7F7F" w:themeColor="text1" w:themeTint="80"/>
          <w:sz w:val="26"/>
          <w:szCs w:val="26"/>
        </w:rPr>
        <w:lastRenderedPageBreak/>
        <w:t xml:space="preserve">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25552E" w:rsidRDefault="004B3DFC" w:rsidP="004B3DFC">
      <w:pPr>
        <w:pStyle w:val="Normal0"/>
        <w:jc w:val="both"/>
        <w:rPr>
          <w:rFonts w:ascii="Calibri" w:hAnsi="Calibri"/>
          <w:color w:val="7F7F7F" w:themeColor="text1" w:themeTint="80"/>
          <w:sz w:val="20"/>
          <w:szCs w:val="20"/>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n el señalado concepto de impugnación, l</w:t>
      </w:r>
      <w:r w:rsidR="00B427DE">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xml:space="preserve">. . . . . . . . . . . . . . . . . . . . . . . . . . . . . . . . </w:t>
      </w:r>
    </w:p>
    <w:p w:rsidR="004B3DFC" w:rsidRPr="0025552E" w:rsidRDefault="004B3DFC" w:rsidP="004B3DFC">
      <w:pPr>
        <w:jc w:val="both"/>
        <w:rPr>
          <w:rFonts w:ascii="Calibri" w:hAnsi="Calibri"/>
          <w:i/>
          <w:color w:val="7F7F7F" w:themeColor="text1" w:themeTint="80"/>
          <w:sz w:val="20"/>
          <w:szCs w:val="20"/>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w:t>
      </w:r>
      <w:r w:rsidR="00CF7B38" w:rsidRPr="006071F6">
        <w:rPr>
          <w:rFonts w:ascii="Calibri" w:hAnsi="Calibri"/>
          <w:color w:val="7F7F7F" w:themeColor="text1" w:themeTint="80"/>
          <w:sz w:val="26"/>
          <w:szCs w:val="26"/>
        </w:rPr>
        <w:t>al infringir el artículo 67 fracción IX de</w:t>
      </w:r>
      <w:r w:rsidR="0025552E">
        <w:rPr>
          <w:rFonts w:ascii="Calibri" w:hAnsi="Calibri"/>
          <w:color w:val="7F7F7F" w:themeColor="text1" w:themeTint="80"/>
          <w:sz w:val="26"/>
          <w:szCs w:val="26"/>
        </w:rPr>
        <w:t>l</w:t>
      </w:r>
      <w:r w:rsidR="0025552E" w:rsidRPr="0025552E">
        <w:rPr>
          <w:rFonts w:ascii="Calibri" w:hAnsi="Calibri"/>
          <w:iCs/>
          <w:color w:val="7F7F7F" w:themeColor="text1" w:themeTint="80"/>
          <w:sz w:val="26"/>
          <w:szCs w:val="26"/>
        </w:rPr>
        <w:t xml:space="preserve"> </w:t>
      </w:r>
      <w:r w:rsidR="0025552E">
        <w:rPr>
          <w:rFonts w:ascii="Calibri" w:hAnsi="Calibri"/>
          <w:color w:val="7F7F7F" w:themeColor="text1" w:themeTint="80"/>
          <w:sz w:val="26"/>
          <w:szCs w:val="26"/>
        </w:rPr>
        <w:t>Reglamento para el Funcionamiento de Establecimientos Comerciales y de Servicios en el Municipio de León, Guanajuato</w:t>
      </w:r>
      <w:proofErr w:type="gramStart"/>
      <w:r w:rsidR="0025552E">
        <w:rPr>
          <w:rFonts w:ascii="Calibri" w:hAnsi="Calibri"/>
          <w:color w:val="7F7F7F" w:themeColor="text1" w:themeTint="80"/>
          <w:sz w:val="26"/>
          <w:szCs w:val="26"/>
        </w:rPr>
        <w:t xml:space="preserve">, </w:t>
      </w:r>
      <w:r w:rsidRPr="006071F6">
        <w:rPr>
          <w:rFonts w:ascii="Calibri" w:hAnsi="Calibri"/>
          <w:i/>
          <w:iCs/>
          <w:color w:val="7F7F7F" w:themeColor="text1" w:themeTint="80"/>
          <w:sz w:val="26"/>
          <w:szCs w:val="26"/>
        </w:rPr>
        <w:t xml:space="preserve"> .</w:t>
      </w:r>
      <w:proofErr w:type="gramEnd"/>
      <w:r w:rsidRPr="006071F6">
        <w:rPr>
          <w:rFonts w:ascii="Calibri" w:hAnsi="Calibri"/>
          <w:i/>
          <w:iCs/>
          <w:color w:val="7F7F7F" w:themeColor="text1" w:themeTint="80"/>
          <w:sz w:val="26"/>
          <w:szCs w:val="26"/>
        </w:rPr>
        <w:t xml:space="preserve">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r w:rsidR="0025552E">
        <w:rPr>
          <w:rFonts w:ascii="Calibri" w:hAnsi="Calibri"/>
          <w:i/>
          <w:iCs/>
          <w:color w:val="7F7F7F" w:themeColor="text1" w:themeTint="80"/>
          <w:sz w:val="26"/>
          <w:szCs w:val="26"/>
        </w:rPr>
        <w:t xml:space="preserve">. . . . </w:t>
      </w:r>
    </w:p>
    <w:p w:rsidR="00E959B2" w:rsidRPr="0025552E" w:rsidRDefault="00E959B2" w:rsidP="00E959B2">
      <w:pPr>
        <w:pStyle w:val="Sangra3detindependiente"/>
        <w:ind w:left="0"/>
        <w:jc w:val="both"/>
        <w:rPr>
          <w:rFonts w:ascii="Calibri" w:hAnsi="Calibri"/>
          <w:color w:val="7F7F7F" w:themeColor="text1" w:themeTint="80"/>
          <w:sz w:val="20"/>
          <w:szCs w:val="20"/>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xml:space="preserve">. . . . . . . . . . . . </w:t>
      </w:r>
    </w:p>
    <w:p w:rsidR="008C61C6" w:rsidRPr="0025552E" w:rsidRDefault="008C61C6" w:rsidP="005820E3">
      <w:pPr>
        <w:pStyle w:val="Default"/>
        <w:ind w:firstLine="708"/>
        <w:jc w:val="both"/>
        <w:rPr>
          <w:rFonts w:asciiTheme="minorHAnsi" w:hAnsiTheme="minorHAnsi"/>
          <w:color w:val="7F7F7F" w:themeColor="text1" w:themeTint="80"/>
          <w:sz w:val="20"/>
          <w:szCs w:val="20"/>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a dicte de acuerdo con esta Ley; pues ello se entiende en virtud de la colaboración solicitada por dicha dependencia, y no por iniciativa propia; como ocurre en el caso en concreto. . . . . . . . . . . . . . . . . . . . .</w:t>
      </w:r>
      <w:r w:rsidR="0025552E">
        <w:rPr>
          <w:rFonts w:asciiTheme="minorHAnsi" w:hAnsiTheme="minorHAnsi"/>
          <w:color w:val="7F7F7F" w:themeColor="text1" w:themeTint="80"/>
          <w:sz w:val="26"/>
          <w:szCs w:val="26"/>
        </w:rPr>
        <w:t xml:space="preserve"> . . . </w:t>
      </w:r>
    </w:p>
    <w:p w:rsidR="008B6F66" w:rsidRPr="0025552E" w:rsidRDefault="008B6F66" w:rsidP="005820E3">
      <w:pPr>
        <w:pStyle w:val="Default"/>
        <w:ind w:firstLine="708"/>
        <w:jc w:val="both"/>
        <w:rPr>
          <w:rFonts w:asciiTheme="minorHAnsi" w:hAnsiTheme="minorHAnsi"/>
          <w:color w:val="7F7F7F" w:themeColor="text1" w:themeTint="80"/>
          <w:sz w:val="20"/>
          <w:szCs w:val="20"/>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 xml:space="preserve">rno de la Secretaría en mención, es la responsable de la coordinación y colaboración con otras autoridades, como lo serían las </w:t>
      </w:r>
      <w:r w:rsidR="00A8545F" w:rsidRPr="00833B37">
        <w:rPr>
          <w:rFonts w:asciiTheme="minorHAnsi" w:hAnsiTheme="minorHAnsi"/>
          <w:color w:val="767171" w:themeColor="background2" w:themeShade="80"/>
          <w:sz w:val="26"/>
          <w:szCs w:val="26"/>
        </w:rPr>
        <w:lastRenderedPageBreak/>
        <w:t>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Pr="00C94531" w:rsidRDefault="00DB641E" w:rsidP="00CA2C14">
      <w:pPr>
        <w:pStyle w:val="Default"/>
        <w:jc w:val="both"/>
        <w:rPr>
          <w:rFonts w:asciiTheme="minorHAnsi" w:hAnsiTheme="minorHAnsi"/>
          <w:color w:val="7F7F7F" w:themeColor="text1" w:themeTint="80"/>
          <w:sz w:val="20"/>
          <w:szCs w:val="20"/>
        </w:rPr>
      </w:pPr>
    </w:p>
    <w:p w:rsidR="00343E70" w:rsidRPr="00A8545F" w:rsidRDefault="00706056" w:rsidP="00A8545F">
      <w:pPr>
        <w:pStyle w:val="Default"/>
        <w:ind w:firstLine="708"/>
        <w:jc w:val="both"/>
        <w:rPr>
          <w:rFonts w:asciiTheme="minorHAnsi" w:hAnsiTheme="minorHAnsi"/>
          <w:color w:val="FF000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343E70" w:rsidRPr="00C94531" w:rsidRDefault="00343E70" w:rsidP="00DB641E">
      <w:pPr>
        <w:pStyle w:val="Sangra3detindependiente"/>
        <w:ind w:left="0"/>
        <w:rPr>
          <w:rFonts w:ascii="Calibri" w:hAnsi="Calibri" w:cs="Calibri"/>
          <w:bCs/>
          <w:iCs/>
          <w:color w:val="7F7F7F" w:themeColor="text1" w:themeTint="80"/>
          <w:sz w:val="20"/>
          <w:szCs w:val="20"/>
          <w:lang w:val="es-MX"/>
        </w:rPr>
      </w:pPr>
    </w:p>
    <w:p w:rsidR="00C94531" w:rsidRDefault="00C94531" w:rsidP="00343E70">
      <w:pPr>
        <w:jc w:val="both"/>
        <w:rPr>
          <w:rFonts w:ascii="Calibri" w:hAnsi="Calibri" w:cs="Calibri"/>
          <w:bCs/>
          <w:iCs/>
          <w:color w:val="7F7F7F" w:themeColor="text1" w:themeTint="80"/>
          <w:sz w:val="26"/>
          <w:szCs w:val="26"/>
        </w:rPr>
      </w:pPr>
    </w:p>
    <w:p w:rsidR="00C94531" w:rsidRDefault="00C94531" w:rsidP="00C94531">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602/2015-JN</w:t>
      </w:r>
    </w:p>
    <w:p w:rsidR="00C94531" w:rsidRPr="00C94531" w:rsidRDefault="00C94531" w:rsidP="00343E70">
      <w:pPr>
        <w:jc w:val="both"/>
        <w:rPr>
          <w:rFonts w:ascii="Calibri" w:hAnsi="Calibri" w:cs="Calibri"/>
          <w:bCs/>
          <w:iCs/>
          <w:color w:val="7F7F7F" w:themeColor="text1" w:themeTint="80"/>
          <w:sz w:val="20"/>
          <w:szCs w:val="20"/>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C94531">
        <w:rPr>
          <w:rFonts w:ascii="Calibri" w:hAnsi="Calibri" w:cs="Calibri"/>
          <w:bCs/>
          <w:iCs/>
          <w:color w:val="7F7F7F" w:themeColor="text1" w:themeTint="80"/>
          <w:sz w:val="26"/>
          <w:szCs w:val="26"/>
        </w:rPr>
        <w:t xml:space="preserve">. . . . . . . . . . . . . . . . . . . . . . . . . . . . . . . . . . . . . </w:t>
      </w:r>
    </w:p>
    <w:p w:rsidR="00833B37" w:rsidRPr="00C94531" w:rsidRDefault="00833B37" w:rsidP="00562A66">
      <w:pPr>
        <w:pStyle w:val="CABEZAS"/>
        <w:tabs>
          <w:tab w:val="left" w:pos="1134"/>
        </w:tabs>
        <w:jc w:val="both"/>
        <w:rPr>
          <w:rFonts w:ascii="Calibri" w:hAnsi="Calibri" w:cs="Calibri"/>
          <w:b w:val="0"/>
          <w:iCs/>
          <w:color w:val="7F7F7F" w:themeColor="text1" w:themeTint="80"/>
          <w:sz w:val="20"/>
          <w:szCs w:val="20"/>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 xml:space="preserve">Por lo que hace a </w:t>
      </w:r>
      <w:r w:rsidR="005D15CD" w:rsidRPr="00562A66">
        <w:rPr>
          <w:rFonts w:ascii="Calibri" w:hAnsi="Calibri" w:cs="Calibri"/>
          <w:b w:val="0"/>
          <w:bCs w:val="0"/>
          <w:iCs/>
          <w:color w:val="7F7F7F" w:themeColor="text1" w:themeTint="80"/>
          <w:sz w:val="26"/>
          <w:szCs w:val="26"/>
          <w:lang w:val="es-MX"/>
        </w:rPr>
        <w:t>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 xml:space="preserve">y 31 del Reglamento para el funcionamiento de Establecimientos Comerciales y de servicios en el </w:t>
      </w:r>
      <w:r w:rsidR="005D15CD" w:rsidRPr="00562A66">
        <w:rPr>
          <w:rFonts w:ascii="Calibri" w:hAnsi="Calibri" w:cs="Calibri"/>
          <w:b w:val="0"/>
          <w:bCs w:val="0"/>
          <w:iCs/>
          <w:color w:val="7F7F7F" w:themeColor="text1" w:themeTint="80"/>
          <w:sz w:val="26"/>
          <w:szCs w:val="26"/>
          <w:lang w:val="es-MX"/>
        </w:rPr>
        <w:lastRenderedPageBreak/>
        <w:t>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C94531">
        <w:rPr>
          <w:rFonts w:ascii="Calibri" w:hAnsi="Calibri" w:cs="Calibri"/>
          <w:b w:val="0"/>
          <w:bCs w:val="0"/>
          <w:iCs/>
          <w:color w:val="7F7F7F" w:themeColor="text1" w:themeTint="80"/>
          <w:sz w:val="26"/>
          <w:szCs w:val="26"/>
          <w:lang w:val="es-MX"/>
        </w:rPr>
        <w:t xml:space="preserve">. . . . . . . . . . . . . . . . . . . </w:t>
      </w:r>
    </w:p>
    <w:p w:rsidR="009E15DC" w:rsidRPr="00A95852" w:rsidRDefault="009E15DC" w:rsidP="00C46636">
      <w:pPr>
        <w:jc w:val="both"/>
        <w:rPr>
          <w:rFonts w:ascii="Calibri" w:hAnsi="Calibri" w:cs="Calibri"/>
          <w:bCs/>
          <w:iCs/>
          <w:color w:val="767171" w:themeColor="background2" w:themeShade="80"/>
          <w:sz w:val="20"/>
          <w:szCs w:val="20"/>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Pr="00A95852" w:rsidRDefault="00AC308A" w:rsidP="00C46636">
      <w:pPr>
        <w:jc w:val="both"/>
        <w:rPr>
          <w:rFonts w:ascii="Calibri" w:hAnsi="Calibri" w:cs="Calibri"/>
          <w:bCs/>
          <w:iCs/>
          <w:color w:val="7F7F7F" w:themeColor="text1" w:themeTint="80"/>
          <w:sz w:val="20"/>
          <w:szCs w:val="20"/>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 . . . . . . . . . . . . . . . . . . . . . . . . . . . . . . . </w:t>
      </w:r>
      <w:r w:rsidR="00D61484">
        <w:rPr>
          <w:rFonts w:asciiTheme="minorHAnsi" w:hAnsiTheme="minorHAnsi" w:cs="Arial"/>
          <w:b w:val="0"/>
          <w:color w:val="767171" w:themeColor="background2" w:themeShade="80"/>
          <w:sz w:val="26"/>
          <w:szCs w:val="26"/>
          <w:lang w:val="es-MX"/>
        </w:rPr>
        <w:t>. . . . . . . . . . . . . . .</w:t>
      </w:r>
    </w:p>
    <w:p w:rsidR="003D0B6B" w:rsidRPr="00A95852" w:rsidRDefault="003D0B6B" w:rsidP="00C46636">
      <w:pPr>
        <w:jc w:val="both"/>
        <w:rPr>
          <w:rFonts w:ascii="Calibri" w:hAnsi="Calibri" w:cs="Calibri"/>
          <w:bCs/>
          <w:iCs/>
          <w:color w:val="7F7F7F" w:themeColor="text1" w:themeTint="80"/>
          <w:sz w:val="20"/>
          <w:szCs w:val="20"/>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FB227A">
        <w:rPr>
          <w:rFonts w:ascii="Calibri" w:hAnsi="Calibri"/>
          <w:b/>
          <w:color w:val="7F7F7F" w:themeColor="text1" w:themeTint="80"/>
          <w:sz w:val="26"/>
          <w:szCs w:val="26"/>
        </w:rPr>
        <w:t xml:space="preserve">18 </w:t>
      </w:r>
      <w:r w:rsidR="00FB227A" w:rsidRPr="00FE6FD0">
        <w:rPr>
          <w:rFonts w:ascii="Calibri" w:hAnsi="Calibri"/>
          <w:color w:val="7F7F7F" w:themeColor="text1" w:themeTint="80"/>
          <w:sz w:val="26"/>
          <w:szCs w:val="26"/>
        </w:rPr>
        <w:t>dieciocho de</w:t>
      </w:r>
      <w:r w:rsidR="00FB227A">
        <w:rPr>
          <w:rFonts w:ascii="Calibri" w:hAnsi="Calibri"/>
          <w:b/>
          <w:color w:val="7F7F7F" w:themeColor="text1" w:themeTint="80"/>
          <w:sz w:val="26"/>
          <w:szCs w:val="26"/>
        </w:rPr>
        <w:t xml:space="preserve"> junio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FB227A">
        <w:rPr>
          <w:rFonts w:ascii="Calibri" w:hAnsi="Calibri"/>
          <w:b/>
          <w:color w:val="7F7F7F" w:themeColor="text1" w:themeTint="80"/>
          <w:sz w:val="26"/>
          <w:szCs w:val="26"/>
        </w:rPr>
        <w:t>0352</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por derivar de la misma,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FA04C4" w:rsidRPr="00F9490B">
        <w:rPr>
          <w:rFonts w:ascii="Calibri" w:hAnsi="Calibri"/>
          <w:color w:val="7F7F7F" w:themeColor="text1" w:themeTint="80"/>
          <w:sz w:val="26"/>
          <w:szCs w:val="27"/>
        </w:rPr>
        <w:t>al tener, como ya se dijo, su sustento y ser consecuencia de una orden de visita emitida de manera 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A95852">
        <w:rPr>
          <w:rFonts w:ascii="Calibri" w:hAnsi="Calibri"/>
          <w:color w:val="7F7F7F" w:themeColor="text1" w:themeTint="80"/>
          <w:sz w:val="26"/>
          <w:szCs w:val="27"/>
        </w:rPr>
        <w:t xml:space="preserve">. . . . . . . . . . . . </w:t>
      </w:r>
    </w:p>
    <w:p w:rsidR="00FA04C4" w:rsidRPr="00A95852" w:rsidRDefault="00FA04C4" w:rsidP="006E5AA9">
      <w:pPr>
        <w:ind w:firstLine="708"/>
        <w:jc w:val="both"/>
        <w:rPr>
          <w:rFonts w:ascii="Calibri" w:hAnsi="Calibri"/>
          <w:color w:val="7F7F7F" w:themeColor="text1" w:themeTint="80"/>
          <w:sz w:val="20"/>
          <w:szCs w:val="20"/>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A95852" w:rsidRDefault="004B3DFC" w:rsidP="00FA04C4">
      <w:pPr>
        <w:jc w:val="both"/>
        <w:rPr>
          <w:rFonts w:ascii="Calibri" w:hAnsi="Calibri"/>
          <w:color w:val="7F7F7F" w:themeColor="text1" w:themeTint="80"/>
          <w:sz w:val="20"/>
          <w:szCs w:val="20"/>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A95852" w:rsidRDefault="004B3DFC" w:rsidP="004B3DFC">
      <w:pPr>
        <w:autoSpaceDE w:val="0"/>
        <w:autoSpaceDN w:val="0"/>
        <w:adjustRightInd w:val="0"/>
        <w:rPr>
          <w:rFonts w:ascii="Calibri" w:hAnsi="Calibri" w:cs="Arial"/>
          <w:color w:val="7F7F7F" w:themeColor="text1" w:themeTint="80"/>
          <w:sz w:val="20"/>
          <w:szCs w:val="20"/>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lastRenderedPageBreak/>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Pr="00A95852" w:rsidRDefault="00F54858" w:rsidP="00FA04C4">
      <w:pPr>
        <w:autoSpaceDE w:val="0"/>
        <w:autoSpaceDN w:val="0"/>
        <w:adjustRightInd w:val="0"/>
        <w:ind w:firstLine="708"/>
        <w:jc w:val="both"/>
        <w:rPr>
          <w:rFonts w:ascii="Calibri" w:hAnsi="Calibri"/>
          <w:color w:val="7F7F7F" w:themeColor="text1" w:themeTint="80"/>
          <w:sz w:val="20"/>
          <w:szCs w:val="20"/>
          <w:lang w:val="es-MX" w:eastAsia="es-MX"/>
        </w:rPr>
      </w:pPr>
    </w:p>
    <w:p w:rsidR="00A95852" w:rsidRDefault="00F54858" w:rsidP="00A95852">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00A32EE2"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00A32EE2"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sidR="00A32EE2">
        <w:rPr>
          <w:rFonts w:ascii="Calibri" w:hAnsi="Calibri" w:cs="Arial"/>
          <w:color w:val="7F7F7F" w:themeColor="text1" w:themeTint="80"/>
          <w:sz w:val="26"/>
          <w:szCs w:val="26"/>
        </w:rPr>
        <w:t xml:space="preserve">el acta de visita de inspección; </w:t>
      </w:r>
      <w:r w:rsidR="00A32EE2" w:rsidRPr="00A32EE2">
        <w:rPr>
          <w:rFonts w:ascii="Calibri" w:hAnsi="Calibri" w:cs="Arial"/>
          <w:color w:val="7F7F7F" w:themeColor="text1" w:themeTint="80"/>
          <w:sz w:val="26"/>
          <w:szCs w:val="26"/>
        </w:rPr>
        <w:t xml:space="preserve">la orden </w:t>
      </w:r>
    </w:p>
    <w:p w:rsidR="00A95852" w:rsidRDefault="00A95852" w:rsidP="00A9585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602/2015-JN</w:t>
      </w:r>
    </w:p>
    <w:p w:rsidR="00A95852" w:rsidRPr="00A95852" w:rsidRDefault="00A95852" w:rsidP="00A95852">
      <w:pPr>
        <w:pStyle w:val="Textoindependiente"/>
        <w:ind w:firstLine="708"/>
        <w:rPr>
          <w:rFonts w:ascii="Calibri" w:hAnsi="Calibri" w:cs="Arial"/>
          <w:color w:val="7F7F7F" w:themeColor="text1" w:themeTint="80"/>
          <w:sz w:val="20"/>
          <w:szCs w:val="20"/>
          <w:lang w:val="es-ES"/>
        </w:rPr>
      </w:pPr>
    </w:p>
    <w:p w:rsidR="00A32EE2" w:rsidRPr="00A32EE2" w:rsidRDefault="00A32EE2" w:rsidP="00A95852">
      <w:pPr>
        <w:pStyle w:val="Textoindependiente"/>
        <w:rPr>
          <w:rFonts w:ascii="Calibri" w:hAnsi="Calibri" w:cs="Arial"/>
          <w:color w:val="7F7F7F" w:themeColor="text1" w:themeTint="80"/>
          <w:sz w:val="26"/>
          <w:szCs w:val="26"/>
        </w:rPr>
      </w:pPr>
      <w:proofErr w:type="gramStart"/>
      <w:r w:rsidRPr="00A32EE2">
        <w:rPr>
          <w:rFonts w:ascii="Calibri" w:hAnsi="Calibri" w:cs="Arial"/>
          <w:color w:val="7F7F7F" w:themeColor="text1" w:themeTint="80"/>
          <w:sz w:val="26"/>
          <w:szCs w:val="26"/>
        </w:rPr>
        <w:t>de</w:t>
      </w:r>
      <w:proofErr w:type="gramEnd"/>
      <w:r w:rsidRPr="00A32EE2">
        <w:rPr>
          <w:rFonts w:ascii="Calibri" w:hAnsi="Calibri" w:cs="Arial"/>
          <w:color w:val="7F7F7F" w:themeColor="text1" w:themeTint="80"/>
          <w:sz w:val="26"/>
          <w:szCs w:val="26"/>
        </w:rPr>
        <w:t xml:space="preserve"> clausura y en el acta de clausura que obran en autos de esta causa administrativa</w:t>
      </w:r>
      <w:r>
        <w:rPr>
          <w:rFonts w:ascii="Calibri" w:hAnsi="Calibri" w:cs="Arial"/>
          <w:color w:val="7F7F7F" w:themeColor="text1" w:themeTint="80"/>
          <w:sz w:val="26"/>
          <w:szCs w:val="26"/>
        </w:rPr>
        <w:t xml:space="preserve">, lo que se traduce en que no existió </w:t>
      </w:r>
      <w:r w:rsidRPr="00A32EE2">
        <w:rPr>
          <w:rFonts w:ascii="Calibri" w:hAnsi="Calibri" w:cs="Arial"/>
          <w:color w:val="7F7F7F" w:themeColor="text1" w:themeTint="80"/>
          <w:sz w:val="26"/>
          <w:szCs w:val="26"/>
        </w:rPr>
        <w:t>la voluntad del titular de la Dirección General de Fiscalización y Control, de este Municipio</w:t>
      </w:r>
      <w:r>
        <w:rPr>
          <w:rFonts w:ascii="Calibri" w:hAnsi="Calibri" w:cs="Arial"/>
          <w:color w:val="7F7F7F" w:themeColor="text1" w:themeTint="80"/>
          <w:sz w:val="26"/>
          <w:szCs w:val="26"/>
        </w:rPr>
        <w:t>, para emitir la orden de clausura</w:t>
      </w:r>
      <w:r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p>
    <w:p w:rsidR="002974BB" w:rsidRPr="00666441" w:rsidRDefault="00F54858" w:rsidP="009A23DB">
      <w:pPr>
        <w:pStyle w:val="Textoindependiente"/>
        <w:ind w:firstLine="708"/>
        <w:rPr>
          <w:rFonts w:ascii="Calibri" w:hAnsi="Calibri" w:cs="Arial"/>
          <w:color w:val="7F7F7F" w:themeColor="text1" w:themeTint="80"/>
          <w:sz w:val="20"/>
          <w:szCs w:val="20"/>
        </w:rPr>
      </w:pPr>
      <w:r w:rsidRPr="00666441">
        <w:rPr>
          <w:rFonts w:ascii="Calibri" w:hAnsi="Calibri" w:cs="Arial"/>
          <w:color w:val="7F7F7F" w:themeColor="text1" w:themeTint="80"/>
          <w:sz w:val="20"/>
          <w:szCs w:val="20"/>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A95852">
        <w:rPr>
          <w:rFonts w:ascii="Calibri" w:hAnsi="Calibri" w:cs="Arial"/>
          <w:color w:val="7F7F7F" w:themeColor="text1" w:themeTint="80"/>
          <w:sz w:val="26"/>
          <w:szCs w:val="26"/>
        </w:rPr>
        <w:t>. . . . . . . . . . . . . . .</w:t>
      </w:r>
    </w:p>
    <w:p w:rsidR="004B3DFC" w:rsidRPr="00A95852" w:rsidRDefault="004B3DFC" w:rsidP="004B3DFC">
      <w:pPr>
        <w:pStyle w:val="Textoindependiente"/>
        <w:ind w:firstLine="708"/>
        <w:rPr>
          <w:rFonts w:ascii="Calibri" w:hAnsi="Calibri" w:cs="Arial"/>
          <w:color w:val="7F7F7F" w:themeColor="text1" w:themeTint="80"/>
          <w:sz w:val="20"/>
          <w:szCs w:val="20"/>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666441" w:rsidRDefault="00FA04C4" w:rsidP="004B3DFC">
      <w:pPr>
        <w:pStyle w:val="Textoindependiente"/>
        <w:ind w:firstLine="708"/>
        <w:rPr>
          <w:rFonts w:ascii="Calibri" w:hAnsi="Calibri"/>
          <w:b/>
          <w:bCs/>
          <w:i/>
          <w:iCs/>
          <w:color w:val="7F7F7F" w:themeColor="text1" w:themeTint="80"/>
          <w:sz w:val="20"/>
          <w:szCs w:val="20"/>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w:t>
      </w:r>
      <w:r w:rsidRPr="00BF5CA7">
        <w:rPr>
          <w:rFonts w:ascii="Calibri" w:hAnsi="Calibri"/>
          <w:i/>
          <w:iCs/>
          <w:color w:val="7F7F7F" w:themeColor="text1" w:themeTint="80"/>
          <w:sz w:val="26"/>
          <w:szCs w:val="26"/>
        </w:rPr>
        <w:lastRenderedPageBreak/>
        <w:t xml:space="preserve">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De lo pretendido por l</w:t>
      </w:r>
      <w:r w:rsidR="0041005A">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FB227A">
        <w:rPr>
          <w:rFonts w:ascii="Calibri" w:hAnsi="Calibri"/>
          <w:color w:val="7F7F7F" w:themeColor="text1" w:themeTint="80"/>
          <w:sz w:val="26"/>
          <w:szCs w:val="26"/>
        </w:rPr>
        <w:t>18 dieciocho de junio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666441">
        <w:rPr>
          <w:rFonts w:ascii="Calibri" w:hAnsi="Calibri"/>
          <w:i/>
          <w:iCs/>
          <w:color w:val="7F7F7F" w:themeColor="text1" w:themeTint="80"/>
          <w:sz w:val="26"/>
          <w:szCs w:val="26"/>
        </w:rPr>
        <w:t>. . . . . . . . . . . . . . . . . . . . . . . . . . . . . . . . . . . . . . . . . . . . . . . . . . . . . . . . . . .</w:t>
      </w:r>
    </w:p>
    <w:p w:rsidR="004B3DFC" w:rsidRPr="00666441" w:rsidRDefault="004B3DFC" w:rsidP="004B3DFC">
      <w:pPr>
        <w:ind w:firstLine="708"/>
        <w:jc w:val="both"/>
        <w:rPr>
          <w:rFonts w:ascii="Calibri" w:hAnsi="Calibri"/>
          <w:color w:val="7F7F7F" w:themeColor="text1" w:themeTint="80"/>
          <w:sz w:val="20"/>
          <w:szCs w:val="20"/>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Pr="00666441" w:rsidRDefault="004B3DFC" w:rsidP="00666441">
      <w:pPr>
        <w:pStyle w:val="Textoindependiente"/>
        <w:tabs>
          <w:tab w:val="left" w:pos="6662"/>
        </w:tabs>
        <w:rPr>
          <w:rFonts w:ascii="Calibri" w:hAnsi="Calibri" w:cs="Arial"/>
          <w:color w:val="7F7F7F" w:themeColor="text1" w:themeTint="80"/>
          <w:sz w:val="20"/>
          <w:szCs w:val="20"/>
        </w:rPr>
      </w:pPr>
      <w:r w:rsidRPr="00666441">
        <w:rPr>
          <w:rFonts w:ascii="Calibri" w:hAnsi="Calibri" w:cs="Arial"/>
          <w:color w:val="7F7F7F" w:themeColor="text1" w:themeTint="80"/>
          <w:sz w:val="20"/>
          <w:szCs w:val="20"/>
        </w:rPr>
        <w:tab/>
      </w: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666441" w:rsidRDefault="008F0CF4" w:rsidP="00EA4780">
      <w:pPr>
        <w:pStyle w:val="Textoindependiente"/>
        <w:tabs>
          <w:tab w:val="left" w:pos="6662"/>
        </w:tabs>
        <w:rPr>
          <w:rFonts w:ascii="Calibri" w:hAnsi="Calibri" w:cs="Calibri"/>
          <w:bCs/>
          <w:color w:val="7F7F7F" w:themeColor="text1" w:themeTint="80"/>
          <w:sz w:val="20"/>
          <w:szCs w:val="20"/>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421585">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l</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ciudadan</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03606D">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r w:rsidR="00666441">
        <w:rPr>
          <w:rFonts w:ascii="Calibri" w:hAnsi="Calibri" w:cs="Arial"/>
          <w:color w:val="7F7F7F" w:themeColor="text1" w:themeTint="80"/>
          <w:sz w:val="26"/>
          <w:szCs w:val="26"/>
        </w:rPr>
        <w:t xml:space="preserve"> . . . . </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FB227A">
        <w:rPr>
          <w:rFonts w:ascii="Calibri" w:hAnsi="Calibri"/>
          <w:b/>
          <w:color w:val="7F7F7F" w:themeColor="text1" w:themeTint="80"/>
          <w:sz w:val="26"/>
          <w:szCs w:val="26"/>
        </w:rPr>
        <w:t xml:space="preserve">18 </w:t>
      </w:r>
      <w:r w:rsidR="00FB227A" w:rsidRPr="00FE6FD0">
        <w:rPr>
          <w:rFonts w:ascii="Calibri" w:hAnsi="Calibri"/>
          <w:color w:val="7F7F7F" w:themeColor="text1" w:themeTint="80"/>
          <w:sz w:val="26"/>
          <w:szCs w:val="26"/>
        </w:rPr>
        <w:t>dieciocho de</w:t>
      </w:r>
      <w:r w:rsidR="00FB227A">
        <w:rPr>
          <w:rFonts w:ascii="Calibri" w:hAnsi="Calibri"/>
          <w:b/>
          <w:color w:val="7F7F7F" w:themeColor="text1" w:themeTint="80"/>
          <w:sz w:val="26"/>
          <w:szCs w:val="26"/>
        </w:rPr>
        <w:t xml:space="preserve"> junio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FB227A">
        <w:rPr>
          <w:rFonts w:ascii="Calibri" w:hAnsi="Calibri"/>
          <w:b/>
          <w:color w:val="7F7F7F" w:themeColor="text1" w:themeTint="80"/>
          <w:sz w:val="26"/>
          <w:szCs w:val="26"/>
        </w:rPr>
        <w:t>0352</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por derivar de la misma,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todos de la misma fecha que la de la orden de visita de inspección y con el mismo número de expediente</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 . . . </w:t>
      </w:r>
      <w:r w:rsidR="004328C1">
        <w:rPr>
          <w:rFonts w:ascii="Calibri" w:hAnsi="Calibri" w:cs="Arial"/>
          <w:color w:val="7F7F7F" w:themeColor="text1" w:themeTint="80"/>
          <w:sz w:val="26"/>
          <w:szCs w:val="26"/>
        </w:rPr>
        <w:t>. . . . . . . . . . . . .</w:t>
      </w:r>
      <w:r w:rsidR="00666441">
        <w:rPr>
          <w:rFonts w:ascii="Calibri" w:hAnsi="Calibri" w:cs="Arial"/>
          <w:color w:val="7F7F7F" w:themeColor="text1" w:themeTint="80"/>
          <w:sz w:val="26"/>
          <w:szCs w:val="26"/>
        </w:rPr>
        <w:t xml:space="preserve"> . .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FB227A">
        <w:rPr>
          <w:rFonts w:ascii="Calibri" w:hAnsi="Calibri"/>
          <w:color w:val="7F7F7F" w:themeColor="text1" w:themeTint="80"/>
          <w:sz w:val="26"/>
          <w:szCs w:val="26"/>
        </w:rPr>
        <w:t>18 dieciocho de junio</w:t>
      </w:r>
      <w:r w:rsidR="008E0AB6" w:rsidRPr="00BF5CA7">
        <w:rPr>
          <w:rFonts w:ascii="Calibri" w:hAnsi="Calibri"/>
          <w:color w:val="7F7F7F" w:themeColor="text1" w:themeTint="80"/>
          <w:sz w:val="26"/>
          <w:szCs w:val="26"/>
        </w:rPr>
        <w:t xml:space="preserve"> del año 2015 dos mil quince, sobre 1 una máquina </w:t>
      </w:r>
      <w:r w:rsidR="008E0AB6">
        <w:rPr>
          <w:rFonts w:ascii="Calibri" w:hAnsi="Calibri"/>
          <w:color w:val="7F7F7F" w:themeColor="text1" w:themeTint="80"/>
          <w:sz w:val="26"/>
          <w:szCs w:val="26"/>
        </w:rPr>
        <w:t xml:space="preserve">electrónica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en calle </w:t>
      </w:r>
      <w:proofErr w:type="spellStart"/>
      <w:r w:rsidR="00FB227A">
        <w:rPr>
          <w:rFonts w:ascii="Calibri" w:hAnsi="Calibri"/>
          <w:color w:val="7F7F7F" w:themeColor="text1" w:themeTint="80"/>
          <w:sz w:val="26"/>
          <w:szCs w:val="26"/>
        </w:rPr>
        <w:t>Savila</w:t>
      </w:r>
      <w:proofErr w:type="spellEnd"/>
      <w:r w:rsidR="00012BEF">
        <w:rPr>
          <w:rFonts w:ascii="Calibri" w:hAnsi="Calibri"/>
          <w:color w:val="7F7F7F" w:themeColor="text1" w:themeTint="80"/>
          <w:sz w:val="26"/>
          <w:szCs w:val="26"/>
        </w:rPr>
        <w:t xml:space="preserve"> </w:t>
      </w:r>
      <w:r w:rsidR="008E0AB6" w:rsidRPr="00BF5CA7">
        <w:rPr>
          <w:rFonts w:ascii="Calibri" w:hAnsi="Calibri"/>
          <w:color w:val="7F7F7F" w:themeColor="text1" w:themeTint="80"/>
          <w:sz w:val="26"/>
          <w:szCs w:val="26"/>
        </w:rPr>
        <w:t xml:space="preserve">número </w:t>
      </w:r>
      <w:r w:rsidR="00FB227A">
        <w:rPr>
          <w:rFonts w:ascii="Calibri" w:hAnsi="Calibri"/>
          <w:color w:val="7F7F7F" w:themeColor="text1" w:themeTint="80"/>
          <w:sz w:val="26"/>
          <w:szCs w:val="26"/>
        </w:rPr>
        <w:t>301-A trecientos uno guion A</w:t>
      </w:r>
      <w:r w:rsidR="008E0AB6" w:rsidRPr="00BF5CA7">
        <w:rPr>
          <w:rFonts w:ascii="Calibri" w:hAnsi="Calibri"/>
          <w:color w:val="7F7F7F" w:themeColor="text1" w:themeTint="80"/>
          <w:sz w:val="26"/>
          <w:szCs w:val="26"/>
        </w:rPr>
        <w:t xml:space="preserve"> de la colonia </w:t>
      </w:r>
      <w:r w:rsidR="00FB227A">
        <w:rPr>
          <w:rFonts w:ascii="Calibri" w:hAnsi="Calibri"/>
          <w:color w:val="7F7F7F" w:themeColor="text1" w:themeTint="80"/>
          <w:sz w:val="26"/>
          <w:szCs w:val="26"/>
        </w:rPr>
        <w:t>Valle Hermoso III Sección</w:t>
      </w:r>
      <w:r w:rsidR="00FE6FD0">
        <w:rPr>
          <w:rFonts w:ascii="Calibri" w:hAnsi="Calibri"/>
          <w:color w:val="7F7F7F" w:themeColor="text1" w:themeTint="80"/>
          <w:sz w:val="26"/>
          <w:szCs w:val="26"/>
        </w:rPr>
        <w:t xml:space="preserve"> </w:t>
      </w:r>
      <w:r w:rsidR="008E0AB6" w:rsidRPr="00BF5CA7">
        <w:rPr>
          <w:rFonts w:ascii="Calibri" w:hAnsi="Calibri"/>
          <w:color w:val="7F7F7F" w:themeColor="text1" w:themeTint="80"/>
          <w:sz w:val="26"/>
          <w:szCs w:val="26"/>
        </w:rPr>
        <w:t>de esta ciudad</w:t>
      </w:r>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666441">
        <w:rPr>
          <w:rFonts w:ascii="Calibri" w:hAnsi="Calibri" w:cs="Calibri"/>
          <w:color w:val="7F7F7F" w:themeColor="text1" w:themeTint="80"/>
          <w:sz w:val="26"/>
          <w:szCs w:val="26"/>
        </w:rPr>
        <w:t xml:space="preserve">. . . .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lastRenderedPageBreak/>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p>
    <w:p w:rsidR="00345365" w:rsidRDefault="00345365" w:rsidP="00C46636">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560" w:rsidRDefault="00D44560">
      <w:r>
        <w:separator/>
      </w:r>
    </w:p>
  </w:endnote>
  <w:endnote w:type="continuationSeparator" w:id="0">
    <w:p w:rsidR="00D44560" w:rsidRDefault="00D4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560" w:rsidRDefault="00D44560">
      <w:r>
        <w:separator/>
      </w:r>
    </w:p>
  </w:footnote>
  <w:footnote w:type="continuationSeparator" w:id="0">
    <w:p w:rsidR="00D44560" w:rsidRDefault="00D44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D445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34F68">
      <w:rPr>
        <w:rStyle w:val="Nmerodepgina"/>
        <w:noProof/>
      </w:rPr>
      <w:t>9</w:t>
    </w:r>
    <w:r>
      <w:rPr>
        <w:rStyle w:val="Nmerodepgina"/>
      </w:rPr>
      <w:fldChar w:fldCharType="end"/>
    </w:r>
  </w:p>
  <w:p w:rsidR="00A70119" w:rsidRDefault="00D445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314EF"/>
    <w:rsid w:val="0003606D"/>
    <w:rsid w:val="00074B0E"/>
    <w:rsid w:val="000909AE"/>
    <w:rsid w:val="000954F8"/>
    <w:rsid w:val="000A4ED3"/>
    <w:rsid w:val="000C6B3D"/>
    <w:rsid w:val="000D6D33"/>
    <w:rsid w:val="000E019D"/>
    <w:rsid w:val="000F12ED"/>
    <w:rsid w:val="00114938"/>
    <w:rsid w:val="00134594"/>
    <w:rsid w:val="00140A1C"/>
    <w:rsid w:val="00183A07"/>
    <w:rsid w:val="0018462E"/>
    <w:rsid w:val="00193C54"/>
    <w:rsid w:val="001C1EB4"/>
    <w:rsid w:val="001E492B"/>
    <w:rsid w:val="00202A4D"/>
    <w:rsid w:val="00231AD0"/>
    <w:rsid w:val="00245DB1"/>
    <w:rsid w:val="0025552E"/>
    <w:rsid w:val="002650E4"/>
    <w:rsid w:val="002802A8"/>
    <w:rsid w:val="002919BC"/>
    <w:rsid w:val="00295DA4"/>
    <w:rsid w:val="002974BB"/>
    <w:rsid w:val="002D729D"/>
    <w:rsid w:val="00330575"/>
    <w:rsid w:val="00343E70"/>
    <w:rsid w:val="00344389"/>
    <w:rsid w:val="00345365"/>
    <w:rsid w:val="00355D69"/>
    <w:rsid w:val="00363074"/>
    <w:rsid w:val="0038550B"/>
    <w:rsid w:val="003C319B"/>
    <w:rsid w:val="003C363B"/>
    <w:rsid w:val="003D0B6B"/>
    <w:rsid w:val="0041005A"/>
    <w:rsid w:val="00421585"/>
    <w:rsid w:val="004328C1"/>
    <w:rsid w:val="00436BB1"/>
    <w:rsid w:val="0047616C"/>
    <w:rsid w:val="0047708E"/>
    <w:rsid w:val="0049794B"/>
    <w:rsid w:val="004A41DC"/>
    <w:rsid w:val="004B3DFC"/>
    <w:rsid w:val="004C212B"/>
    <w:rsid w:val="004E2B17"/>
    <w:rsid w:val="00562A66"/>
    <w:rsid w:val="00562F72"/>
    <w:rsid w:val="00577C15"/>
    <w:rsid w:val="005820E3"/>
    <w:rsid w:val="005A1EAD"/>
    <w:rsid w:val="005C1EF8"/>
    <w:rsid w:val="005D15CD"/>
    <w:rsid w:val="005E0800"/>
    <w:rsid w:val="006071F6"/>
    <w:rsid w:val="0064042F"/>
    <w:rsid w:val="00656D08"/>
    <w:rsid w:val="00666441"/>
    <w:rsid w:val="00684D24"/>
    <w:rsid w:val="00685ED2"/>
    <w:rsid w:val="006A28E2"/>
    <w:rsid w:val="006B0FF3"/>
    <w:rsid w:val="006D41F4"/>
    <w:rsid w:val="006E1F7A"/>
    <w:rsid w:val="006E5AA9"/>
    <w:rsid w:val="006F3DF8"/>
    <w:rsid w:val="006F63DA"/>
    <w:rsid w:val="006F74D0"/>
    <w:rsid w:val="0070292F"/>
    <w:rsid w:val="00706056"/>
    <w:rsid w:val="00711C4D"/>
    <w:rsid w:val="00736742"/>
    <w:rsid w:val="00781737"/>
    <w:rsid w:val="00784CB8"/>
    <w:rsid w:val="007926D3"/>
    <w:rsid w:val="007B3DCF"/>
    <w:rsid w:val="007D67C9"/>
    <w:rsid w:val="00803BBE"/>
    <w:rsid w:val="0080464C"/>
    <w:rsid w:val="008063DD"/>
    <w:rsid w:val="00832B72"/>
    <w:rsid w:val="00833B37"/>
    <w:rsid w:val="00834317"/>
    <w:rsid w:val="0083714C"/>
    <w:rsid w:val="00882A95"/>
    <w:rsid w:val="008A53D5"/>
    <w:rsid w:val="008A5D63"/>
    <w:rsid w:val="008B535A"/>
    <w:rsid w:val="008B6F66"/>
    <w:rsid w:val="008C282C"/>
    <w:rsid w:val="008C61C6"/>
    <w:rsid w:val="008E0AB6"/>
    <w:rsid w:val="008F0CF4"/>
    <w:rsid w:val="00920B03"/>
    <w:rsid w:val="009429E2"/>
    <w:rsid w:val="009466BA"/>
    <w:rsid w:val="00951162"/>
    <w:rsid w:val="00951532"/>
    <w:rsid w:val="009661F2"/>
    <w:rsid w:val="00981D66"/>
    <w:rsid w:val="0098360E"/>
    <w:rsid w:val="00992C9C"/>
    <w:rsid w:val="009964FC"/>
    <w:rsid w:val="009A23DB"/>
    <w:rsid w:val="009A50BE"/>
    <w:rsid w:val="009A69D8"/>
    <w:rsid w:val="009B4FBA"/>
    <w:rsid w:val="009E10FA"/>
    <w:rsid w:val="009E15DC"/>
    <w:rsid w:val="00A02F6E"/>
    <w:rsid w:val="00A17A21"/>
    <w:rsid w:val="00A217CD"/>
    <w:rsid w:val="00A22410"/>
    <w:rsid w:val="00A2439F"/>
    <w:rsid w:val="00A32EE2"/>
    <w:rsid w:val="00A57007"/>
    <w:rsid w:val="00A8545F"/>
    <w:rsid w:val="00A95852"/>
    <w:rsid w:val="00A97819"/>
    <w:rsid w:val="00A97A65"/>
    <w:rsid w:val="00AB7C8F"/>
    <w:rsid w:val="00AC206B"/>
    <w:rsid w:val="00AC308A"/>
    <w:rsid w:val="00AE1A6F"/>
    <w:rsid w:val="00AE3E7D"/>
    <w:rsid w:val="00B05B82"/>
    <w:rsid w:val="00B427DE"/>
    <w:rsid w:val="00B62D66"/>
    <w:rsid w:val="00B65360"/>
    <w:rsid w:val="00B75A23"/>
    <w:rsid w:val="00B75DD6"/>
    <w:rsid w:val="00BB36E8"/>
    <w:rsid w:val="00BC5DA4"/>
    <w:rsid w:val="00BF0BF6"/>
    <w:rsid w:val="00BF6197"/>
    <w:rsid w:val="00C10076"/>
    <w:rsid w:val="00C10164"/>
    <w:rsid w:val="00C1556C"/>
    <w:rsid w:val="00C36F26"/>
    <w:rsid w:val="00C464F2"/>
    <w:rsid w:val="00C46636"/>
    <w:rsid w:val="00C72228"/>
    <w:rsid w:val="00C73B77"/>
    <w:rsid w:val="00C80E6F"/>
    <w:rsid w:val="00C94531"/>
    <w:rsid w:val="00C95299"/>
    <w:rsid w:val="00CA2C14"/>
    <w:rsid w:val="00CE396D"/>
    <w:rsid w:val="00CF7B38"/>
    <w:rsid w:val="00D1202C"/>
    <w:rsid w:val="00D14E8F"/>
    <w:rsid w:val="00D30188"/>
    <w:rsid w:val="00D44560"/>
    <w:rsid w:val="00D4766E"/>
    <w:rsid w:val="00D61484"/>
    <w:rsid w:val="00D77803"/>
    <w:rsid w:val="00D77B11"/>
    <w:rsid w:val="00D92F83"/>
    <w:rsid w:val="00DB641E"/>
    <w:rsid w:val="00DE0314"/>
    <w:rsid w:val="00DF3DD6"/>
    <w:rsid w:val="00E0072D"/>
    <w:rsid w:val="00E16C1B"/>
    <w:rsid w:val="00E31BEB"/>
    <w:rsid w:val="00E34F68"/>
    <w:rsid w:val="00E50512"/>
    <w:rsid w:val="00E54AA9"/>
    <w:rsid w:val="00E77635"/>
    <w:rsid w:val="00E83986"/>
    <w:rsid w:val="00E950DE"/>
    <w:rsid w:val="00E959B2"/>
    <w:rsid w:val="00EA36B8"/>
    <w:rsid w:val="00EA4780"/>
    <w:rsid w:val="00EC7D6A"/>
    <w:rsid w:val="00EE4879"/>
    <w:rsid w:val="00F45C07"/>
    <w:rsid w:val="00F52045"/>
    <w:rsid w:val="00F54858"/>
    <w:rsid w:val="00F95EF2"/>
    <w:rsid w:val="00FA04C4"/>
    <w:rsid w:val="00FA79FD"/>
    <w:rsid w:val="00FB227A"/>
    <w:rsid w:val="00FB5E60"/>
    <w:rsid w:val="00FB6D86"/>
    <w:rsid w:val="00FC2718"/>
    <w:rsid w:val="00FC6D4E"/>
    <w:rsid w:val="00FD5D57"/>
    <w:rsid w:val="00FE0446"/>
    <w:rsid w:val="00FE6FD0"/>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214046484">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1758165752">
      <w:bodyDiv w:val="1"/>
      <w:marLeft w:val="0"/>
      <w:marRight w:val="0"/>
      <w:marTop w:val="0"/>
      <w:marBottom w:val="0"/>
      <w:divBdr>
        <w:top w:val="none" w:sz="0" w:space="0" w:color="auto"/>
        <w:left w:val="none" w:sz="0" w:space="0" w:color="auto"/>
        <w:bottom w:val="none" w:sz="0" w:space="0" w:color="auto"/>
        <w:right w:val="none" w:sz="0" w:space="0" w:color="auto"/>
      </w:divBdr>
    </w:div>
    <w:div w:id="17669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4346</Words>
  <Characters>23907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2017-03-31T15:19:00Z</dcterms:created>
  <dcterms:modified xsi:type="dcterms:W3CDTF">2017-03-31T15:19:00Z</dcterms:modified>
</cp:coreProperties>
</file>